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32AE">
        <w:rPr>
          <w:rFonts w:ascii="Times New Roman" w:hAnsi="Times New Roman" w:cs="Times New Roman"/>
          <w:sz w:val="24"/>
          <w:szCs w:val="24"/>
          <w:lang w:val="en-US"/>
        </w:rPr>
        <w:t>ANCIENT PHRYGIA IN ANATOLIAN CONTEXT</w:t>
      </w:r>
    </w:p>
    <w:p w:rsidR="00C07D59" w:rsidRDefault="00C07D59" w:rsidP="00C07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Written evidence about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cuneiform texts.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1902 Hugo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Winckler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suggested the identification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Near Eastern texts with the Phrygians from the Greek literature.</w:t>
      </w:r>
    </w:p>
    <w:p w:rsidR="00C07D59" w:rsidRDefault="00C07D59" w:rsidP="00C07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Phrygians probably took part in the battle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Qadesh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Rameses II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Muwatalis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in 1274 BC; they could have been part of the so-called “Sea Peoples”]</w:t>
      </w:r>
    </w:p>
    <w:p w:rsidR="00C07D59" w:rsidRDefault="00C07D59" w:rsidP="00C07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Tiglatpilesar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(1114-1076 BC) confronted 20 000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led by 5 kings (their names haven’t been preserved) somewhere between Upper Tigris and Upper Euphrates;</w:t>
      </w:r>
    </w:p>
    <w:p w:rsidR="00C07D59" w:rsidRDefault="00C07D59" w:rsidP="00C07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evidence about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time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Assurnazirpal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(884-859 BC);</w:t>
      </w:r>
    </w:p>
    <w:p w:rsidR="00C07D59" w:rsidRDefault="00C07D59" w:rsidP="00C07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largest set of evidence originate from the reign of Sargon II (722-705 BC);</w:t>
      </w:r>
    </w:p>
    <w:p w:rsidR="00C07D59" w:rsidRDefault="00C07D59" w:rsidP="00C07D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718 BC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king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formed an anti-Assyrian coalition with the king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thus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=Midas confirms the identification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=Phrygians;</w:t>
      </w:r>
    </w:p>
    <w:p w:rsidR="00C07D59" w:rsidRDefault="00C07D59" w:rsidP="00C07D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717 BC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conspired against Assyria with the king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Kargamish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he conquered cities in Que (Cilicia);</w:t>
      </w:r>
    </w:p>
    <w:p w:rsidR="00C07D59" w:rsidRDefault="00C07D59" w:rsidP="00C07D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713 BC Sargon II defeated all kingdoms and punished their rulers but retained good relations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7D59" w:rsidRDefault="00C07D59" w:rsidP="00C07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Greek literary tradition about the Phrygians.</w:t>
      </w:r>
    </w:p>
    <w:p w:rsidR="00C07D59" w:rsidRDefault="00C07D59" w:rsidP="00C07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Homer mentioned the Phrygians as Trojan alleys but did not know the name Midas; the contingents were led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Phorkys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Ascanios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instead; in previous times Priam had helped the Phrygians in their war against the Amazons – implies close relations between both royal courts.</w:t>
      </w:r>
    </w:p>
    <w:p w:rsidR="00C07D59" w:rsidRDefault="00C07D59" w:rsidP="00C07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Herodotus tells the story about Phrygian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mugration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Macedonia/the Balkans to Asia Minor: 7.73. This was the version told by the Macedonians. They were called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Brygoi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when living in Europe and then changed it to Phrygians when settled down in Anatolia. In 6.45 Herodotus mentions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Brygians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 Thracian tribe without any reference to the Phrygian story;</w:t>
      </w:r>
    </w:p>
    <w:p w:rsidR="00C07D59" w:rsidRDefault="00C07D59" w:rsidP="00C07D5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8.138 – the Macedonian dynastic legend where Midas’ rose gardens are mentioned where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caught</w:t>
      </w:r>
    </w:p>
    <w:p w:rsidR="00C07D59" w:rsidRDefault="00C07D59" w:rsidP="00C07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Strabo 7.3.2; 14.5.9 – the Phrygians came to Anatolia after the Trojan War; 12.8.3.</w:t>
      </w:r>
    </w:p>
    <w:p w:rsidR="00C07D59" w:rsidRDefault="00C07D59" w:rsidP="00C07D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10.3.13-15 the similarities between the cult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Dionysos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that of the Mother of Gods in Phrygia; </w:t>
      </w:r>
    </w:p>
    <w:p w:rsidR="00C07D59" w:rsidRDefault="00C07D59" w:rsidP="00C07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Hellenistic writers state that the Phrygians came from Asia Minor to Europe: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Euphorion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(3</w:t>
      </w:r>
      <w:r w:rsidRPr="00257D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BC)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Nicandros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(mid-2</w:t>
      </w:r>
      <w:r w:rsidRPr="00257D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BC)</w:t>
      </w:r>
      <w:r w:rsidRPr="00257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7D59" w:rsidRDefault="00C07D59" w:rsidP="00C07D59">
      <w:pPr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Movements of population within a similar ethnic and cultural milieu were possible. There is no evidence for a mass migration from Europe to Anatolia.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Similar features in cult and religion could have provoked the Greek literary stories about Phrygian migration.</w:t>
      </w:r>
    </w:p>
    <w:p w:rsidR="00C07D59" w:rsidRDefault="00C07D59" w:rsidP="00C07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Archaeological investigation of the Phrygian capital 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7D59" w:rsidRDefault="00C07D59" w:rsidP="00C07D5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site was identified by the German brothers Alfred and Gustav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who excavated there in 1900 (published their results in 1904).</w:t>
      </w:r>
    </w:p>
    <w:p w:rsidR="00C07D59" w:rsidRDefault="00C07D59" w:rsidP="00C07D5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1950 the settlement has been excavated by an international team under the University of Pennsylvania, Philadelphia, USA</w:t>
      </w:r>
    </w:p>
    <w:p w:rsidR="00C07D59" w:rsidRDefault="00C07D59" w:rsidP="00C07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Early Iron Age (EIA) hand-made pottery was discovered with parallels in Thrace, as well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Daskyleion</w:t>
      </w:r>
      <w:proofErr w:type="spellEnd"/>
      <w:r w:rsidRPr="00257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to some extend it supports the story of migration revealing presence of Balkan population in the EIA, around 1100 BC.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a royal citadel, probably built in mid-9</w:t>
      </w:r>
      <w:r w:rsidRPr="00AC00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BC: royal complex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megarons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7D59" w:rsidRDefault="00C07D59" w:rsidP="00C07D5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earliest floor mosaic ever found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Megaron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2;</w:t>
      </w:r>
    </w:p>
    <w:p w:rsidR="00C07D59" w:rsidRDefault="00C07D59" w:rsidP="00C07D5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Terrace building – comprising 8 attached rooms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megaron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plan: evidence for different crafts was discovered in each of the rooms</w:t>
      </w:r>
    </w:p>
    <w:p w:rsidR="00C07D59" w:rsidRDefault="00C07D59" w:rsidP="00C07D5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Orthostates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have parallels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Kargamish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10</w:t>
      </w:r>
      <w:r w:rsidRPr="00622A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-9</w:t>
      </w:r>
      <w:r w:rsidRPr="00622A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BC)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Strabo says that King Midas committed suicide by drinking bull’s blood when his country was invaded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Kimmerians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Till recently scholars assumed that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Kimmerians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to blame for the big destruction of the early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citadel. New samples tested with C14 method showed dates earlier by one century which means that the city could not have been attacked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Kimmerians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According to these new dates the destruction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912">
        <w:rPr>
          <w:rFonts w:ascii="Times New Roman" w:hAnsi="Times New Roman" w:cs="Times New Roman"/>
          <w:i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800 BC. 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Early Phrygian period: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91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950-800 BC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Middle Phrygian period: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91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800-540 BC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 Phrygian period: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91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540-330 BC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the destruction the city was quickly rebuilt: the new city plan repeats in general the former one.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7</w:t>
      </w:r>
      <w:r w:rsidRPr="00E549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BC Phrygia was under Lydian control and then became part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Achaemenid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Persian Empire, together with the rest of Anatolia. In 333 BC Alexander the Great entered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the story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Knot – probably invented by Alexander’s historians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Arrianos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Quint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Curtius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Rufus).</w:t>
      </w:r>
    </w:p>
    <w:p w:rsidR="00C07D59" w:rsidRDefault="00C07D59" w:rsidP="00C07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tumuli: over a hundred around the city, 35 of which have been excavated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Phrygian tombs are bigger or smaller</w:t>
      </w:r>
      <w:r w:rsidRPr="0062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wooden chambers without an entrance or corridor, meant for one single burial.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Covered with huge earthen mounds.</w:t>
      </w:r>
      <w:proofErr w:type="gramEnd"/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biggest tumulus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nicknamed “Tumulus MM= Midas Mound”: 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300 m in diameter and 54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Of course, it doesn’t belong to Midas. The investigation shows a date between 744-738 BC when Midas was still alive. Very rich grave</w:t>
      </w:r>
      <w:r w:rsidRPr="0062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goods but without any object of precious metal: hundreds of bronze vessels, 9 pieces of wooden inlaid furniture, hundreds of fibulae, several bronze belts, pottery. The deceased was a man of around 60 years of age.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other big tumulus is Tumulus P where a child was buried, again with rich inventory. Tumulus W is the earliest of all – probably from the 9</w:t>
      </w:r>
      <w:r w:rsidRPr="004B04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BC. All the earliest tumuli contained inhumations, later on cremations started to be practiced.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7D59" w:rsidRPr="005D20AE" w:rsidRDefault="00C07D59" w:rsidP="00C07D59">
      <w:pPr>
        <w:rPr>
          <w:rFonts w:ascii="Times New Roman" w:hAnsi="Times New Roman" w:cs="Times New Roman"/>
          <w:sz w:val="24"/>
          <w:szCs w:val="24"/>
        </w:rPr>
      </w:pPr>
      <w:r w:rsidRPr="005D20AE">
        <w:rPr>
          <w:rFonts w:ascii="Times New Roman" w:hAnsi="Times New Roman" w:cs="Times New Roman"/>
          <w:sz w:val="24"/>
          <w:szCs w:val="24"/>
        </w:rPr>
        <w:t>Литература:</w:t>
      </w:r>
    </w:p>
    <w:p w:rsidR="00C07D59" w:rsidRPr="005D20AE" w:rsidRDefault="00C07D59" w:rsidP="00C07D59">
      <w:pPr>
        <w:rPr>
          <w:rFonts w:ascii="Times New Roman" w:hAnsi="Times New Roman" w:cs="Times New Roman"/>
          <w:sz w:val="24"/>
          <w:szCs w:val="24"/>
        </w:rPr>
      </w:pPr>
      <w:r w:rsidRPr="005D20AE">
        <w:rPr>
          <w:rFonts w:ascii="Times New Roman" w:hAnsi="Times New Roman" w:cs="Times New Roman"/>
          <w:b/>
          <w:sz w:val="24"/>
          <w:szCs w:val="24"/>
        </w:rPr>
        <w:t>Василева, М.</w:t>
      </w:r>
      <w:r w:rsidRPr="005D20AE">
        <w:rPr>
          <w:rFonts w:ascii="Times New Roman" w:hAnsi="Times New Roman" w:cs="Times New Roman"/>
          <w:sz w:val="24"/>
          <w:szCs w:val="24"/>
        </w:rPr>
        <w:t xml:space="preserve"> Тракия и </w:t>
      </w:r>
      <w:proofErr w:type="spellStart"/>
      <w:r w:rsidRPr="005D20AE">
        <w:rPr>
          <w:rFonts w:ascii="Times New Roman" w:hAnsi="Times New Roman" w:cs="Times New Roman"/>
          <w:sz w:val="24"/>
          <w:szCs w:val="24"/>
        </w:rPr>
        <w:t>Фригия</w:t>
      </w:r>
      <w:proofErr w:type="spellEnd"/>
      <w:r w:rsidRPr="005D20AE">
        <w:rPr>
          <w:rFonts w:ascii="Times New Roman" w:hAnsi="Times New Roman" w:cs="Times New Roman"/>
          <w:sz w:val="24"/>
          <w:szCs w:val="24"/>
        </w:rPr>
        <w:t xml:space="preserve"> в старогръцките писмени извори. - </w:t>
      </w:r>
      <w:proofErr w:type="spellStart"/>
      <w:r w:rsidRPr="005D20AE">
        <w:rPr>
          <w:rFonts w:ascii="Times New Roman" w:hAnsi="Times New Roman" w:cs="Times New Roman"/>
          <w:i/>
          <w:sz w:val="24"/>
          <w:szCs w:val="24"/>
        </w:rPr>
        <w:t>Thracia</w:t>
      </w:r>
      <w:proofErr w:type="spellEnd"/>
      <w:r w:rsidRPr="005D20A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5D20AE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5D20AE">
        <w:rPr>
          <w:rFonts w:ascii="Times New Roman" w:hAnsi="Times New Roman" w:cs="Times New Roman"/>
          <w:sz w:val="24"/>
          <w:szCs w:val="24"/>
        </w:rPr>
        <w:t>, 1993, 5-37.</w:t>
      </w:r>
    </w:p>
    <w:p w:rsidR="00C07D59" w:rsidRPr="005D20AE" w:rsidRDefault="00C07D59" w:rsidP="00C07D59">
      <w:pPr>
        <w:rPr>
          <w:rFonts w:ascii="Times New Roman" w:hAnsi="Times New Roman" w:cs="Times New Roman"/>
          <w:sz w:val="24"/>
          <w:szCs w:val="24"/>
        </w:rPr>
      </w:pPr>
      <w:r w:rsidRPr="005D20AE">
        <w:rPr>
          <w:rFonts w:ascii="Times New Roman" w:hAnsi="Times New Roman" w:cs="Times New Roman"/>
          <w:b/>
          <w:sz w:val="24"/>
          <w:szCs w:val="24"/>
        </w:rPr>
        <w:t>Василева, М.</w:t>
      </w:r>
      <w:r w:rsidRPr="005D20AE">
        <w:rPr>
          <w:rFonts w:ascii="Times New Roman" w:hAnsi="Times New Roman" w:cs="Times New Roman"/>
          <w:sz w:val="24"/>
          <w:szCs w:val="24"/>
        </w:rPr>
        <w:t xml:space="preserve"> </w:t>
      </w:r>
      <w:r w:rsidRPr="005D20AE">
        <w:rPr>
          <w:rFonts w:ascii="Times New Roman" w:hAnsi="Times New Roman" w:cs="Times New Roman"/>
          <w:i/>
          <w:sz w:val="24"/>
          <w:szCs w:val="24"/>
        </w:rPr>
        <w:t>Цар Мидас между Европа и Азия.</w:t>
      </w:r>
      <w:r w:rsidRPr="005D20AE">
        <w:rPr>
          <w:rFonts w:ascii="Times New Roman" w:hAnsi="Times New Roman" w:cs="Times New Roman"/>
          <w:sz w:val="24"/>
          <w:szCs w:val="24"/>
        </w:rPr>
        <w:t xml:space="preserve"> София, 2005.</w:t>
      </w:r>
    </w:p>
    <w:p w:rsidR="00C07D59" w:rsidRPr="005D20AE" w:rsidRDefault="00C07D59" w:rsidP="00C07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0AE">
        <w:rPr>
          <w:rFonts w:ascii="Times New Roman" w:hAnsi="Times New Roman" w:cs="Times New Roman"/>
          <w:b/>
          <w:sz w:val="24"/>
          <w:szCs w:val="24"/>
        </w:rPr>
        <w:t>Венедиков</w:t>
      </w:r>
      <w:proofErr w:type="spellEnd"/>
      <w:r w:rsidRPr="005D20AE">
        <w:rPr>
          <w:rFonts w:ascii="Times New Roman" w:hAnsi="Times New Roman" w:cs="Times New Roman"/>
          <w:b/>
          <w:sz w:val="24"/>
          <w:szCs w:val="24"/>
        </w:rPr>
        <w:t>, И</w:t>
      </w:r>
      <w:r w:rsidRPr="005D20AE">
        <w:rPr>
          <w:rFonts w:ascii="Times New Roman" w:hAnsi="Times New Roman" w:cs="Times New Roman"/>
          <w:sz w:val="24"/>
          <w:szCs w:val="24"/>
        </w:rPr>
        <w:t xml:space="preserve">. 1982: Тракийската топонимия в движение. Населението на Югоизточна Тракия. - В: </w:t>
      </w:r>
      <w:r w:rsidRPr="005D20AE">
        <w:rPr>
          <w:rFonts w:ascii="Times New Roman" w:hAnsi="Times New Roman" w:cs="Times New Roman"/>
          <w:i/>
          <w:sz w:val="24"/>
          <w:szCs w:val="24"/>
        </w:rPr>
        <w:t xml:space="preserve">Тракийски паметници 3. </w:t>
      </w:r>
      <w:proofErr w:type="spellStart"/>
      <w:r w:rsidRPr="005D20AE">
        <w:rPr>
          <w:rFonts w:ascii="Times New Roman" w:hAnsi="Times New Roman" w:cs="Times New Roman"/>
          <w:i/>
          <w:sz w:val="24"/>
          <w:szCs w:val="24"/>
        </w:rPr>
        <w:t>Мегалитите</w:t>
      </w:r>
      <w:proofErr w:type="spellEnd"/>
      <w:r w:rsidRPr="005D20AE">
        <w:rPr>
          <w:rFonts w:ascii="Times New Roman" w:hAnsi="Times New Roman" w:cs="Times New Roman"/>
          <w:i/>
          <w:sz w:val="24"/>
          <w:szCs w:val="24"/>
        </w:rPr>
        <w:t xml:space="preserve"> в Тракия 2.</w:t>
      </w:r>
      <w:r w:rsidRPr="005D20AE">
        <w:rPr>
          <w:rFonts w:ascii="Times New Roman" w:hAnsi="Times New Roman" w:cs="Times New Roman"/>
          <w:sz w:val="24"/>
          <w:szCs w:val="24"/>
        </w:rPr>
        <w:t xml:space="preserve"> София, 32-170.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0AE">
        <w:rPr>
          <w:rFonts w:ascii="Times New Roman" w:hAnsi="Times New Roman" w:cs="Times New Roman"/>
          <w:b/>
          <w:sz w:val="24"/>
          <w:szCs w:val="24"/>
        </w:rPr>
        <w:t>Фол</w:t>
      </w:r>
      <w:proofErr w:type="spellEnd"/>
      <w:r w:rsidRPr="005D20AE">
        <w:rPr>
          <w:rFonts w:ascii="Times New Roman" w:hAnsi="Times New Roman" w:cs="Times New Roman"/>
          <w:b/>
          <w:sz w:val="24"/>
          <w:szCs w:val="24"/>
        </w:rPr>
        <w:t>, А.</w:t>
      </w:r>
      <w:r w:rsidRPr="005D20AE">
        <w:rPr>
          <w:rFonts w:ascii="Times New Roman" w:hAnsi="Times New Roman" w:cs="Times New Roman"/>
          <w:sz w:val="24"/>
          <w:szCs w:val="24"/>
        </w:rPr>
        <w:t xml:space="preserve"> </w:t>
      </w:r>
      <w:r w:rsidRPr="005D20AE">
        <w:rPr>
          <w:rFonts w:ascii="Times New Roman" w:hAnsi="Times New Roman" w:cs="Times New Roman"/>
          <w:i/>
          <w:sz w:val="24"/>
          <w:szCs w:val="24"/>
        </w:rPr>
        <w:t xml:space="preserve">Тракийският </w:t>
      </w:r>
      <w:proofErr w:type="spellStart"/>
      <w:r w:rsidRPr="005D20AE">
        <w:rPr>
          <w:rFonts w:ascii="Times New Roman" w:hAnsi="Times New Roman" w:cs="Times New Roman"/>
          <w:i/>
          <w:sz w:val="24"/>
          <w:szCs w:val="24"/>
        </w:rPr>
        <w:t>Дионис</w:t>
      </w:r>
      <w:proofErr w:type="spellEnd"/>
      <w:r w:rsidRPr="005D20AE">
        <w:rPr>
          <w:rFonts w:ascii="Times New Roman" w:hAnsi="Times New Roman" w:cs="Times New Roman"/>
          <w:i/>
          <w:sz w:val="24"/>
          <w:szCs w:val="24"/>
        </w:rPr>
        <w:t xml:space="preserve">. Книга втора: </w:t>
      </w:r>
      <w:proofErr w:type="spellStart"/>
      <w:r w:rsidRPr="005D20AE">
        <w:rPr>
          <w:rFonts w:ascii="Times New Roman" w:hAnsi="Times New Roman" w:cs="Times New Roman"/>
          <w:i/>
          <w:sz w:val="24"/>
          <w:szCs w:val="24"/>
        </w:rPr>
        <w:t>Сабазий</w:t>
      </w:r>
      <w:proofErr w:type="spellEnd"/>
      <w:r w:rsidRPr="005D20AE">
        <w:rPr>
          <w:rFonts w:ascii="Times New Roman" w:hAnsi="Times New Roman" w:cs="Times New Roman"/>
          <w:sz w:val="24"/>
          <w:szCs w:val="24"/>
        </w:rPr>
        <w:t>. София, 1994.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B3F14">
        <w:rPr>
          <w:rFonts w:ascii="Times New Roman" w:hAnsi="Times New Roman" w:cs="Times New Roman"/>
          <w:b/>
          <w:sz w:val="24"/>
          <w:szCs w:val="24"/>
          <w:lang w:val="en-US"/>
        </w:rPr>
        <w:t>Vassileva</w:t>
      </w:r>
      <w:proofErr w:type="spellEnd"/>
      <w:r w:rsidRPr="005B3F14">
        <w:rPr>
          <w:rFonts w:ascii="Times New Roman" w:hAnsi="Times New Roman" w:cs="Times New Roman"/>
          <w:b/>
          <w:sz w:val="24"/>
          <w:szCs w:val="24"/>
          <w:lang w:val="en-US"/>
        </w:rPr>
        <w:t>, M</w:t>
      </w:r>
      <w:r>
        <w:rPr>
          <w:rFonts w:ascii="Times New Roman" w:hAnsi="Times New Roman" w:cs="Times New Roman"/>
          <w:sz w:val="24"/>
          <w:szCs w:val="24"/>
          <w:lang w:val="en-US"/>
        </w:rPr>
        <w:t>. King Midas in Southeastern Anatolia.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In: B.J. Collins, M.R.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Bachvarova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J. C. Rutherford (eds.) </w:t>
      </w:r>
      <w:r w:rsidRPr="000C7B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Anatolian Interfaces. </w:t>
      </w:r>
      <w:proofErr w:type="gramStart"/>
      <w:r w:rsidRPr="000C7BC6">
        <w:rPr>
          <w:rFonts w:ascii="Times New Roman" w:hAnsi="Times New Roman" w:cs="Times New Roman"/>
          <w:i/>
          <w:sz w:val="24"/>
          <w:szCs w:val="24"/>
          <w:lang w:val="en-US"/>
        </w:rPr>
        <w:t>Hittites, Greeks and Their Neighbors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Oxbow Books, 2008, 165-171. </w:t>
      </w:r>
    </w:p>
    <w:p w:rsidR="00C07D59" w:rsidRPr="000C7BC6" w:rsidRDefault="00C07D59" w:rsidP="00C07D59">
      <w:pPr>
        <w:rPr>
          <w:rFonts w:ascii="Times New Roman" w:hAnsi="Times New Roman" w:cs="Times New Roman"/>
          <w:szCs w:val="24"/>
          <w:lang w:val="en-US"/>
        </w:rPr>
      </w:pPr>
      <w:proofErr w:type="spellStart"/>
      <w:r w:rsidRPr="005B3F14">
        <w:rPr>
          <w:rFonts w:ascii="Times New Roman" w:hAnsi="Times New Roman" w:cs="Times New Roman"/>
          <w:b/>
          <w:sz w:val="24"/>
          <w:szCs w:val="24"/>
          <w:lang w:val="en-US"/>
        </w:rPr>
        <w:t>Vassileva</w:t>
      </w:r>
      <w:proofErr w:type="spellEnd"/>
      <w:r w:rsidRPr="005B3F14">
        <w:rPr>
          <w:rFonts w:ascii="Times New Roman" w:hAnsi="Times New Roman" w:cs="Times New Roman"/>
          <w:b/>
          <w:sz w:val="24"/>
          <w:szCs w:val="24"/>
          <w:lang w:val="en-US"/>
        </w:rPr>
        <w:t>, M</w:t>
      </w:r>
      <w:r w:rsidRPr="005B3F14">
        <w:rPr>
          <w:rFonts w:ascii="Times New Roman" w:hAnsi="Times New Roman" w:cs="Times New Roman"/>
          <w:color w:val="4A4A4A"/>
          <w:szCs w:val="24"/>
        </w:rPr>
        <w:t xml:space="preserve"> </w:t>
      </w:r>
      <w:r w:rsidRPr="000C7BC6">
        <w:rPr>
          <w:rFonts w:ascii="Times New Roman" w:hAnsi="Times New Roman" w:cs="Times New Roman"/>
          <w:szCs w:val="24"/>
        </w:rPr>
        <w:t>K</w:t>
      </w:r>
      <w:proofErr w:type="spellStart"/>
      <w:r w:rsidRPr="000C7BC6">
        <w:rPr>
          <w:rFonts w:ascii="Times New Roman" w:hAnsi="Times New Roman" w:cs="Times New Roman"/>
          <w:szCs w:val="24"/>
          <w:lang w:val="en-US"/>
        </w:rPr>
        <w:t>i</w:t>
      </w:r>
      <w:r w:rsidRPr="000C7BC6">
        <w:rPr>
          <w:rFonts w:ascii="Times New Roman" w:hAnsi="Times New Roman" w:cs="Times New Roman"/>
          <w:szCs w:val="24"/>
        </w:rPr>
        <w:t>ng</w:t>
      </w:r>
      <w:proofErr w:type="spellEnd"/>
      <w:r w:rsidRPr="000C7B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7BC6">
        <w:rPr>
          <w:rFonts w:ascii="Times New Roman" w:hAnsi="Times New Roman" w:cs="Times New Roman"/>
          <w:szCs w:val="24"/>
        </w:rPr>
        <w:t>Midas'</w:t>
      </w:r>
      <w:proofErr w:type="spellEnd"/>
      <w:r w:rsidRPr="000C7B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7BC6">
        <w:rPr>
          <w:rFonts w:ascii="Times New Roman" w:hAnsi="Times New Roman" w:cs="Times New Roman"/>
          <w:szCs w:val="24"/>
        </w:rPr>
        <w:t>Ass's</w:t>
      </w:r>
      <w:proofErr w:type="spellEnd"/>
      <w:r w:rsidRPr="000C7B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7BC6">
        <w:rPr>
          <w:rFonts w:ascii="Times New Roman" w:hAnsi="Times New Roman" w:cs="Times New Roman"/>
          <w:szCs w:val="24"/>
        </w:rPr>
        <w:t>Ears</w:t>
      </w:r>
      <w:proofErr w:type="spellEnd"/>
      <w:r w:rsidRPr="000C7B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C7BC6">
        <w:rPr>
          <w:rFonts w:ascii="Times New Roman" w:hAnsi="Times New Roman" w:cs="Times New Roman"/>
          <w:szCs w:val="24"/>
        </w:rPr>
        <w:t>Revisited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. – </w:t>
      </w:r>
      <w:r w:rsidRPr="000C7BC6">
        <w:rPr>
          <w:rFonts w:ascii="Times New Roman" w:hAnsi="Times New Roman" w:cs="Times New Roman"/>
          <w:i/>
          <w:szCs w:val="24"/>
          <w:lang w:val="en-US"/>
        </w:rPr>
        <w:t>Ancient West and East</w:t>
      </w:r>
      <w:r>
        <w:rPr>
          <w:rFonts w:ascii="Times New Roman" w:hAnsi="Times New Roman" w:cs="Times New Roman"/>
          <w:szCs w:val="24"/>
          <w:lang w:val="en-US"/>
        </w:rPr>
        <w:t xml:space="preserve"> 7, 2008, 237-247.</w:t>
      </w:r>
    </w:p>
    <w:p w:rsidR="00C07D59" w:rsidRDefault="00C07D59" w:rsidP="00C0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Вж. прикачените статии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същата тема.</w:t>
      </w:r>
    </w:p>
    <w:p w:rsidR="00C07D59" w:rsidRPr="005D20AE" w:rsidRDefault="00C07D59" w:rsidP="00C07D5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6" w:history="1">
        <w:r>
          <w:rPr>
            <w:rStyle w:val="Hyperlink"/>
          </w:rPr>
          <w:t>http://sites.museum.upenn.edu/gordion</w:t>
        </w:r>
      </w:hyperlink>
      <w:r>
        <w:rPr>
          <w:lang w:val="en-US"/>
        </w:rPr>
        <w:t xml:space="preserve"> </w:t>
      </w:r>
    </w:p>
    <w:p w:rsidR="00CC1A7C" w:rsidRDefault="00CC1A7C">
      <w:bookmarkStart w:id="0" w:name="_GoBack"/>
      <w:bookmarkEnd w:id="0"/>
    </w:p>
    <w:sectPr w:rsidR="00CC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B4C"/>
    <w:multiLevelType w:val="hybridMultilevel"/>
    <w:tmpl w:val="A42EE8CA"/>
    <w:lvl w:ilvl="0" w:tplc="874021A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3028F5B6">
      <w:start w:val="1"/>
      <w:numFmt w:val="bullet"/>
      <w:lvlText w:val="-"/>
      <w:lvlJc w:val="left"/>
      <w:pPr>
        <w:ind w:left="269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386970"/>
    <w:multiLevelType w:val="hybridMultilevel"/>
    <w:tmpl w:val="62CEEF32"/>
    <w:lvl w:ilvl="0" w:tplc="DBAC027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0" w:hanging="360"/>
      </w:pPr>
    </w:lvl>
    <w:lvl w:ilvl="2" w:tplc="0402001B" w:tentative="1">
      <w:start w:val="1"/>
      <w:numFmt w:val="lowerRoman"/>
      <w:lvlText w:val="%3."/>
      <w:lvlJc w:val="right"/>
      <w:pPr>
        <w:ind w:left="3220" w:hanging="180"/>
      </w:pPr>
    </w:lvl>
    <w:lvl w:ilvl="3" w:tplc="0402000F" w:tentative="1">
      <w:start w:val="1"/>
      <w:numFmt w:val="decimal"/>
      <w:lvlText w:val="%4."/>
      <w:lvlJc w:val="left"/>
      <w:pPr>
        <w:ind w:left="3940" w:hanging="360"/>
      </w:pPr>
    </w:lvl>
    <w:lvl w:ilvl="4" w:tplc="04020019" w:tentative="1">
      <w:start w:val="1"/>
      <w:numFmt w:val="lowerLetter"/>
      <w:lvlText w:val="%5."/>
      <w:lvlJc w:val="left"/>
      <w:pPr>
        <w:ind w:left="4660" w:hanging="360"/>
      </w:pPr>
    </w:lvl>
    <w:lvl w:ilvl="5" w:tplc="0402001B" w:tentative="1">
      <w:start w:val="1"/>
      <w:numFmt w:val="lowerRoman"/>
      <w:lvlText w:val="%6."/>
      <w:lvlJc w:val="right"/>
      <w:pPr>
        <w:ind w:left="5380" w:hanging="180"/>
      </w:pPr>
    </w:lvl>
    <w:lvl w:ilvl="6" w:tplc="0402000F" w:tentative="1">
      <w:start w:val="1"/>
      <w:numFmt w:val="decimal"/>
      <w:lvlText w:val="%7."/>
      <w:lvlJc w:val="left"/>
      <w:pPr>
        <w:ind w:left="6100" w:hanging="360"/>
      </w:pPr>
    </w:lvl>
    <w:lvl w:ilvl="7" w:tplc="04020019" w:tentative="1">
      <w:start w:val="1"/>
      <w:numFmt w:val="lowerLetter"/>
      <w:lvlText w:val="%8."/>
      <w:lvlJc w:val="left"/>
      <w:pPr>
        <w:ind w:left="6820" w:hanging="360"/>
      </w:pPr>
    </w:lvl>
    <w:lvl w:ilvl="8" w:tplc="0402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670D3424"/>
    <w:multiLevelType w:val="hybridMultilevel"/>
    <w:tmpl w:val="1D78F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42B3"/>
    <w:multiLevelType w:val="hybridMultilevel"/>
    <w:tmpl w:val="C41CF008"/>
    <w:lvl w:ilvl="0" w:tplc="8DD480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9"/>
    <w:rsid w:val="00724BD3"/>
    <w:rsid w:val="00C07D59"/>
    <w:rsid w:val="00C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museum.upenn.edu/gord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2016-12-13T07:41:00Z</dcterms:created>
  <dcterms:modified xsi:type="dcterms:W3CDTF">2016-12-13T07:41:00Z</dcterms:modified>
</cp:coreProperties>
</file>